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  <w:t>安徽省教育基本建设学会六届理事会名单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理事长、副理事长、秘书长（12人）：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成祖德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季益洪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虞宝桃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韩军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肖圣龙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刘明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郑健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徐朝阳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马纯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李金星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李志平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李大华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常务理事（31人）：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姚子龙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赵国飞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黄强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王伟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舒剑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孙小龙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沈少蕾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黄镭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斯方龙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王先民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刘长有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涂红松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黄远友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左小云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吴世勇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黄志圣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周祥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张德学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谈忐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王诗根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郭宛京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郭有强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俞浩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陈雪峰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杨文杰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陈再文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袁旗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姜绳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何翔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汪东军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程业涛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汪忠国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张彤阳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李永杨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向满和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安徽大学（甘应照）   安徽中澳科技职业学院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理事（100人）：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方春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谢宜兵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张晶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於敏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张军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吴明友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丁志强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吴本华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胡长新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金自峰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刘茜茜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李纪阔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卞国锋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孔海波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刘长有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李谋平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王军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甘宗平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罗伟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朱华贵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严峻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张蕊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蒋飞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）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胡斌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周家生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何霞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王永斌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夏春晓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洪为宝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张伟伟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王奇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丁翔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刘先春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丁传虎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余嗣俊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李梓健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邬孝春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聂广龙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何平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汪涛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唐泉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马睿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丁卫星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严继贵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张龙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周志亮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吴登明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王晓黎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武培卫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徐幼坤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张传国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任学超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潘有棣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王富春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魏永恒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朱国新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何寅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范春申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张文敬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沈良生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许荣兵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戎静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汪启桂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张恩文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杨孝永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关进国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张诚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章小槟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赵芳琴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李冰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曹芳胜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李素霞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丁满意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李公华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吴雨晴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徐原辉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章新可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朱永国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黑金鹏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王继聪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刘大威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王家元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郭世杰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朱建芬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许华云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徐家毛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周本顺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曹昌旺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高全忠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窦永林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朱伟红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方中淼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崔建生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）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王海胜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胡雨晴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叶枫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李之泉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乔如银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丁邦赞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周军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胡迎峰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徐涛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许艳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梅琪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宋灯平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  <w:t>安徽省教育基本建设学会六届监会名单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监事长：金桂兰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副监事长：丁金锁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监事：胡凼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NmZiYTMyOWUxNmI2MTUwZjQzYWYyMDI1MWNjMGEifQ=="/>
  </w:docVars>
  <w:rsids>
    <w:rsidRoot w:val="6EFC1E5D"/>
    <w:rsid w:val="6E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2023-10-30T02:24:00Z</dcterms:created>
  <dc:creator>admin</dc:creator>
  <cp:lastModifiedBy>admin</cp:lastModifiedBy>
  <dcterms:modified xsi:type="dcterms:W3CDTF">2023-10-30T02:24:37Z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0AD34A058A544C70B4D4178B4B93E7E4_11</vt:lpwstr>
  </property>
</Properties>
</file>